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EE" w:rsidRDefault="00224B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4BEE" w:rsidRDefault="00224BEE">
      <w:pPr>
        <w:pStyle w:val="ConsPlusNormal"/>
        <w:ind w:firstLine="540"/>
        <w:jc w:val="both"/>
        <w:outlineLvl w:val="0"/>
      </w:pPr>
    </w:p>
    <w:p w:rsidR="00224BEE" w:rsidRDefault="00224BE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24BEE" w:rsidRDefault="00224BEE">
      <w:pPr>
        <w:pStyle w:val="ConsPlusNormal"/>
        <w:jc w:val="both"/>
      </w:pPr>
    </w:p>
    <w:p w:rsidR="00224BEE" w:rsidRDefault="00224BEE">
      <w:pPr>
        <w:pStyle w:val="ConsPlusTitle"/>
        <w:jc w:val="center"/>
      </w:pPr>
      <w:r>
        <w:t>СУДЕБНАЯ ПРАКТИКА ПО ЗАКОНУ N 44-ФЗ: ОБЗОР ЗА 23 - 27 СЕНТЯБРЯ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30.09.2019.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Normal"/>
        <w:ind w:firstLine="540"/>
        <w:jc w:val="both"/>
      </w:pPr>
      <w:r>
        <w:t>Мы отобрали пять постановлений, включенных в систему КонсультантПлюс на прошлой неделе. Какие условия гарантии признаются незаконными? Что делать, если ГОСТ требует наличия товарного знака? Обязан ли победитель перечислить обеспечение лично? Ответы на эти и другие вопросы в нашем обзоре.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0"/>
      </w:pPr>
      <w:r>
        <w:t>Участникам закупки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1"/>
      </w:pPr>
      <w:r>
        <w:t>В банковской гарантии не должна быть ограничена ответственность банка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Заказчик не принял в качестве обеспечения исполнения контракта банковскую гарантию. В ней было условие о том, что ответственность банка за несвоевременную выплату ограничивается суммой, на которую выдана гарантия.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Суды поддержали заказчика. В </w:t>
      </w:r>
      <w:hyperlink r:id="rId6" w:history="1">
        <w:r>
          <w:rPr>
            <w:color w:val="0000FF"/>
          </w:rPr>
          <w:t>Законе N 44-ФЗ</w:t>
        </w:r>
      </w:hyperlink>
      <w:r>
        <w:t xml:space="preserve"> установлено требование: в гарантии нужно предусмотреть обязанность банка выплатить заказчику неустойку за просрочку выплаты по гарантии. Ограничивать сумму такой неустойки нельзя.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17.09.2019 по делу N А40-226638/2018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1"/>
      </w:pPr>
      <w:r>
        <w:t xml:space="preserve">Допработы, не </w:t>
      </w:r>
      <w:proofErr w:type="gramStart"/>
      <w:r>
        <w:t>связанные</w:t>
      </w:r>
      <w:proofErr w:type="gramEnd"/>
      <w:r>
        <w:t xml:space="preserve"> с предметом контракта, могут не оплатить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Общество выполнило аварийный ремонт наружных сетей водопровода. Контракт был заключен с единственным поставщиком по </w:t>
      </w:r>
      <w:hyperlink r:id="rId8" w:history="1">
        <w:r>
          <w:rPr>
            <w:color w:val="0000FF"/>
          </w:rPr>
          <w:t>п. 9 ч. 1 ст. 93</w:t>
        </w:r>
      </w:hyperlink>
      <w:r>
        <w:t xml:space="preserve"> Закона N 44-ФЗ.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После исполнения контракта стороны </w:t>
      </w:r>
      <w:hyperlink r:id="rId9" w:history="1">
        <w:r>
          <w:rPr>
            <w:color w:val="0000FF"/>
          </w:rPr>
          <w:t>заключили допсоглашение</w:t>
        </w:r>
      </w:hyperlink>
      <w:r>
        <w:t xml:space="preserve"> на выполнение дополнительных работ. Заказчик эти работы принял, но не оплатил.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Суд отказал обществу в иске о взыскании оплаты. Допсоглашение признали притворной сделкой, </w:t>
      </w:r>
      <w:proofErr w:type="gramStart"/>
      <w:r>
        <w:t>которая</w:t>
      </w:r>
      <w:proofErr w:type="gramEnd"/>
      <w:r>
        <w:t xml:space="preserve"> по сути являлась сделкой по организации водоснабжения и водоотведения. Указанные в допсоглашении работы не были ни неотложными, ни связанными с аварийными работами, предусмотренными контрактом.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17.09.2019 по делу N А56-146667/2018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0"/>
      </w:pPr>
      <w:r>
        <w:t>Заказчикам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1"/>
      </w:pPr>
      <w:r>
        <w:t>Нельзя отклонять заявку из-за отсутствия товарного знака, даже если он требуется по ГОСТу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Заявку участника отклонили, поскольку в ней не был указан товарный знак битума. По ГОСТу эти сведения являются </w:t>
      </w:r>
      <w:hyperlink r:id="rId11" w:history="1">
        <w:r>
          <w:rPr>
            <w:color w:val="0000FF"/>
          </w:rPr>
          <w:t>обязательными</w:t>
        </w:r>
      </w:hyperlink>
      <w:r>
        <w:t>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УФАС, суды первой и апелляционной инстанции поддержали заказчика: отсутствие </w:t>
      </w:r>
      <w:r>
        <w:lastRenderedPageBreak/>
        <w:t>товарного знака говорит о несоответствии предлагаемого товара ГОСТу.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Окружной суд решил иначе. По Закону N 44-ФЗ заказчик </w:t>
      </w:r>
      <w:hyperlink r:id="rId12" w:history="1">
        <w:r>
          <w:rPr>
            <w:color w:val="0000FF"/>
          </w:rPr>
          <w:t>вправе требовать</w:t>
        </w:r>
      </w:hyperlink>
      <w:r>
        <w:t>, чтобы ГОСТу соответствовали функциональные, технические и качественные характеристики товара. Товарный знак к ним не относится.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Производители не обязаны регистрировать товарные знаки на свою продукцию. В данном случае требование заказчика ограничивает конкуренцию.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11.09.2019 по делу N А27-20949/2018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1"/>
      </w:pPr>
      <w:r>
        <w:t>Обеспечение исполнение контракта за победителя может внести третье лицо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Заказчик признал компанию - победителя аукциона уклонившимся от заключения контракта. Причина - непредоставление обеспечения исполнения контракта.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Участник оспорил это решение в суде. Деньги в обеспечение контракта были направлены заказчику с карты физлица через Сбербанк Онлайн. В назначении платежа были </w:t>
      </w:r>
      <w:hyperlink r:id="rId14" w:history="1">
        <w:r>
          <w:rPr>
            <w:color w:val="0000FF"/>
          </w:rPr>
          <w:t>указаны</w:t>
        </w:r>
      </w:hyperlink>
      <w:r>
        <w:t xml:space="preserve"> номера закупки и контракта, наименование компании и Ф.И.О. ее директора. Владелец карты пояснил, что осуществил перевод на основании письма победителя закупки в счет долга.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Суды первых двух инстанций встали на сторону заказчика, сославшись на то, что в Законе N 44-ФЗ не предусмотрена возможность внесения обеспечения третьим лицом.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Окружной суд отменил их решение. Он </w:t>
      </w:r>
      <w:hyperlink r:id="rId15" w:history="1">
        <w:r>
          <w:rPr>
            <w:color w:val="0000FF"/>
          </w:rPr>
          <w:t>подчеркнул</w:t>
        </w:r>
      </w:hyperlink>
      <w:r>
        <w:t xml:space="preserve">: в законе не установлена обязанность участника </w:t>
      </w:r>
      <w:proofErr w:type="gramStart"/>
      <w:r>
        <w:t>вносить</w:t>
      </w:r>
      <w:proofErr w:type="gramEnd"/>
      <w:r>
        <w:t xml:space="preserve"> обеспечение лично.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Заказчик должен принять обеспечение контракта, внесенное за победителя другим лицом, независимо от причин, побудивших победителя перепоручить свое обязательство.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Волго-Вятского округа от 17.06.2019 по делу N А43-24406/2018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Title"/>
        <w:ind w:firstLine="540"/>
        <w:jc w:val="both"/>
        <w:outlineLvl w:val="1"/>
      </w:pPr>
      <w:r>
        <w:t>Письма производителя не доказывают, что товар отвечает условиям госконтракта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Заказчик отказался принимать реагенты, поскольку они не соответствовали техзаданию. В ответе поставщик сослался на информационные письма производителя о том, что предложенный товар отвечает требованиям контракта.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>Суды поддержали заказчика. Параметры реагентов должны быть отражены в инструкции по их применению и в регистрационном удостоверении. Информационные письма производителя не могут быть доказательством соответствия поставленного товара техническому заданию.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Подробнее читайте в нашей </w:t>
      </w:r>
      <w:hyperlink r:id="rId17" w:history="1">
        <w:r>
          <w:rPr>
            <w:color w:val="0000FF"/>
          </w:rPr>
          <w:t>новости</w:t>
        </w:r>
      </w:hyperlink>
      <w:r>
        <w:t>.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Центрального округа от 13.09.2019 по делу N А68-7095/2018</w:t>
      </w:r>
    </w:p>
    <w:p w:rsidR="00224BEE" w:rsidRDefault="00224BEE">
      <w:pPr>
        <w:pStyle w:val="ConsPlusNormal"/>
        <w:spacing w:before="220"/>
        <w:ind w:firstLine="540"/>
        <w:jc w:val="both"/>
      </w:pPr>
      <w:r>
        <w:t xml:space="preserve">Предыдущий обзор практики читайте </w:t>
      </w:r>
      <w:hyperlink r:id="rId19" w:history="1">
        <w:r>
          <w:rPr>
            <w:color w:val="0000FF"/>
          </w:rPr>
          <w:t>здесь</w:t>
        </w:r>
      </w:hyperlink>
      <w:r>
        <w:t>.</w:t>
      </w: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Normal"/>
        <w:ind w:firstLine="540"/>
        <w:jc w:val="both"/>
      </w:pPr>
    </w:p>
    <w:p w:rsidR="00224BEE" w:rsidRDefault="00224B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684" w:rsidRDefault="00C91684">
      <w:bookmarkStart w:id="0" w:name="_GoBack"/>
      <w:bookmarkEnd w:id="0"/>
    </w:p>
    <w:sectPr w:rsidR="00C91684" w:rsidSect="0067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EE"/>
    <w:rsid w:val="00224BEE"/>
    <w:rsid w:val="00C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4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4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35537713EEDE50800C21C495A3838C09024011FE578268B9A7C5F4FE76A89EADCD6DCE10F24CC3CA094A0BBBC1483899AD36720N7H5M" TargetMode="External"/><Relationship Id="rId13" Type="http://schemas.openxmlformats.org/officeDocument/2006/relationships/hyperlink" Target="consultantplus://offline/ref=F2335537713EEDE50800DD074D5A3838C297280B1FEE78268B9A7C5F4FE76A89EADCD6D4E8092F9B64EF95FCFDE907818D9AD1633C777681N9H0M" TargetMode="External"/><Relationship Id="rId18" Type="http://schemas.openxmlformats.org/officeDocument/2006/relationships/hyperlink" Target="consultantplus://offline/ref=F2335537713EEDE50800DD1E505A3838C29020021EEC78268B9A7C5F4FE76A89EADCD6D4E8092F9B64EF95FCFDE907818D9AD1633C777681N9H0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2335537713EEDE50800DD104D5A3838C09121061DEE78268B9A7C5F4FE76A89EADCD6D4E8092F9D6BEF95FCFDE907818D9AD1633C777681N9H0M" TargetMode="External"/><Relationship Id="rId12" Type="http://schemas.openxmlformats.org/officeDocument/2006/relationships/hyperlink" Target="consultantplus://offline/ref=F2335537713EEDE50800DD074D5A3838C297280B1FEE78268B9A7C5F4FE76A89EADCD6D4E8092F9C68EF95FCFDE907818D9AD1633C777681N9H0M" TargetMode="External"/><Relationship Id="rId17" Type="http://schemas.openxmlformats.org/officeDocument/2006/relationships/hyperlink" Target="consultantplus://offline/ref=F2335537713EEDE50800C21C495A3838C295290713ED78268B9A7C5F4FE76A89EADCD6DCE8092E9339B585F8B4BE0A9D8D80CF652277N7H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335537713EEDE50800DD0B485A3838CB9A290A1AE7252C83C3705D48E8359EED95DAD5E809299066B090E9ECB108839384D579207574N8H3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35537713EEDE50800C21C495A3838C09024011FE578268B9A7C5F4FE76A89EADCD6D4E808279068EF95FCFDE907818D9AD1633C777681N9H0M" TargetMode="External"/><Relationship Id="rId11" Type="http://schemas.openxmlformats.org/officeDocument/2006/relationships/hyperlink" Target="consultantplus://offline/ref=F2335537713EEDE50800DD074D5A3838C297280B1FEE78268B9A7C5F4FE76A89EADCD6D4E8092F9C6FEF95FCFDE907818D9AD1633C777681N9H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335537713EEDE50800DD0B485A3838CB9A290A1AE7252C83C3705D48E8359EED95DAD5E809299F66B090E9ECB108839384D579207574N8H3M" TargetMode="External"/><Relationship Id="rId10" Type="http://schemas.openxmlformats.org/officeDocument/2006/relationships/hyperlink" Target="consultantplus://offline/ref=F2335537713EEDE50800DD0E445A3838C190200B18EF78268B9A7C5F4FE76A89EADCD6D4E8092F9A6BEF95FCFDE907818D9AD1633C777681N9H0M" TargetMode="External"/><Relationship Id="rId19" Type="http://schemas.openxmlformats.org/officeDocument/2006/relationships/hyperlink" Target="consultantplus://offline/ref=F2335537713EEDE50800C21C495A3838C09124071CE978268B9A7C5F4FE76A89F8DC8ED8EA09319869FAC3ADBBNB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335537713EEDE50800DD0E445A3838C190200B18EF78268B9A7C5F4FE76A89EADCD6D4E8092F9A6DEF95FCFDE907818D9AD1633C777681N9H0M" TargetMode="External"/><Relationship Id="rId14" Type="http://schemas.openxmlformats.org/officeDocument/2006/relationships/hyperlink" Target="consultantplus://offline/ref=F2335537713EEDE50800DD0B485A3838CB9A290A1AE7252C83C3705D48E8359EED95DAD5E8092B9D66B090E9ECB108839384D579207574N8H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2020-04-20T12:07:00Z</dcterms:created>
  <dcterms:modified xsi:type="dcterms:W3CDTF">2020-04-20T12:07:00Z</dcterms:modified>
</cp:coreProperties>
</file>